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spacing w:after="280" w:before="0"/>
      </w:pPr>
      <w:r>
        <w:rPr>
          <w:rFonts w:ascii="Calibri" w:cs="Calibri" w:eastAsia="Calibri" w:hAnsi="Calibri"/>
          <w:b/>
          <w:bCs/>
          <w:i w:val="false"/>
          <w:iCs w:val="false"/>
          <w:smallCaps w:val="false"/>
          <w:color w:val="C9A84C"/>
          <w:spacing w:val="100"/>
          <w:sz w:val="18"/>
          <w:szCs w:val="18"/>
        </w:rPr>
        <w:t xml:space="preserve">A MORAL PORTFOLIO AUDIT</w:t>
      </w:r>
    </w:p>
    <w:p>
      <w:pPr>
        <w:pBdr>
          <w:bottom w:val="single" w:color="C9A84C" w:sz="12" w:space="1"/>
        </w:pBdr>
        <w:spacing w:after="360" w:before="0"/>
        <w:ind w:right="8500"/>
      </w:pPr>
      <w:r>
        <w:t xml:space="preserve"/>
      </w:r>
    </w:p>
    <w:p>
      <w:pPr>
        <w:spacing w:after="160" w:before="0" w:line="520"/>
      </w:pPr>
      <w:r>
        <w:rPr>
          <w:rFonts w:ascii="Georgia" w:cs="Georgia" w:eastAsia="Georgia" w:hAnsi="Georgia"/>
          <w:color w:val="0F2039"/>
          <w:sz w:val="84"/>
          <w:szCs w:val="84"/>
        </w:rPr>
        <w:t xml:space="preserve">Sample Client Report.</w:t>
      </w:r>
    </w:p>
    <w:p>
      <w:pPr>
        <w:spacing w:after="600" w:before="0" w:line="360"/>
      </w:pPr>
      <w:r>
        <w:rPr>
          <w:rFonts w:ascii="Georgia" w:cs="Georgia" w:eastAsia="Georgia" w:hAnsi="Georgia"/>
          <w:i/>
          <w:iCs/>
          <w:color w:val="A88B3B"/>
          <w:sz w:val="26"/>
          <w:szCs w:val="26"/>
        </w:rPr>
        <w:t xml:space="preserve">An illustrative example of the Moral Portfolio Audit deliverable — prepared for demonstration purposes only.</w:t>
      </w:r>
    </w:p>
    <w:p>
      <w:pPr>
        <w:pBdr>
          <w:bottom w:val="single" w:color="C9A84C" w:sz="8" w:space="1"/>
        </w:pBdr>
        <w:spacing w:after="160" w:before="120"/>
      </w:pPr>
      <w:r>
        <w:t xml:space="preserve"/>
      </w:r>
    </w:p>
    <w:p>
      <w:r>
        <w:t xml:space="preserve"/>
      </w:r>
    </w:p>
    <w:p>
      <w:r>
        <w:t xml:space="preserve"/>
      </w:r>
    </w:p>
    <w:p>
      <w:r>
        <w:t xml:space="preserve"/>
      </w:r>
    </w:p>
    <w:p>
      <w:r>
        <w:t xml:space="preserve"/>
      </w:r>
    </w:p>
    <w:p>
      <w:r>
        <w:t xml:space="preserve"/>
      </w:r>
    </w:p>
    <w:p>
      <w:pPr>
        <w:spacing w:after="120" w:before="0"/>
      </w:pPr>
      <w:r>
        <w:rPr>
          <w:rFonts w:ascii="Calibri" w:cs="Calibri" w:eastAsia="Calibri" w:hAnsi="Calibri"/>
          <w:b w:val="false"/>
          <w:bCs w:val="false"/>
          <w:i w:val="false"/>
          <w:iCs w:val="false"/>
          <w:smallCaps w:val="false"/>
          <w:color w:val="6B6B6B"/>
          <w:spacing w:val="80"/>
          <w:sz w:val="16"/>
          <w:szCs w:val="16"/>
        </w:rPr>
        <w:t xml:space="preserve">PREPARED FOR</w:t>
      </w:r>
    </w:p>
    <w:p>
      <w:pPr>
        <w:spacing w:after="60" w:before="0"/>
      </w:pPr>
      <w:r>
        <w:rPr>
          <w:rFonts w:ascii="Georgia" w:cs="Georgia" w:eastAsia="Georgia" w:hAnsi="Georgia"/>
          <w:color w:val="0F2039"/>
          <w:sz w:val="32"/>
          <w:szCs w:val="32"/>
        </w:rPr>
        <w:t xml:space="preserve">The Campbell Household</w:t>
      </w:r>
    </w:p>
    <w:p>
      <w:pPr>
        <w:spacing w:after="320" w:before="0"/>
      </w:pPr>
      <w:r>
        <w:rPr>
          <w:rFonts w:ascii="Calibri" w:cs="Calibri" w:eastAsia="Calibri" w:hAnsi="Calibri"/>
          <w:b w:val="false"/>
          <w:bCs w:val="false"/>
          <w:i w:val="false"/>
          <w:iCs w:val="false"/>
          <w:smallCaps w:val="false"/>
          <w:color w:val="6B6B6B"/>
          <w:spacing w:val="80"/>
          <w:sz w:val="14"/>
          <w:szCs w:val="14"/>
        </w:rPr>
        <w:t xml:space="preserve">REPRESENTATIVE CATHOLIC INVESTOR  ·  ANONYMIZED COMPOSITE</w:t>
      </w:r>
    </w:p>
    <w:p>
      <w:pPr>
        <w:spacing w:after="120" w:before="0"/>
      </w:pPr>
      <w:r>
        <w:rPr>
          <w:rFonts w:ascii="Calibri" w:cs="Calibri" w:eastAsia="Calibri" w:hAnsi="Calibri"/>
          <w:b w:val="false"/>
          <w:bCs w:val="false"/>
          <w:i w:val="false"/>
          <w:iCs w:val="false"/>
          <w:smallCaps w:val="false"/>
          <w:color w:val="6B6B6B"/>
          <w:spacing w:val="80"/>
          <w:sz w:val="16"/>
          <w:szCs w:val="16"/>
        </w:rPr>
        <w:t xml:space="preserve">PREPARED BY</w:t>
      </w:r>
    </w:p>
    <w:p>
      <w:pPr>
        <w:spacing w:after="60" w:before="0"/>
      </w:pPr>
      <w:r>
        <w:rPr>
          <w:rFonts w:ascii="Georgia" w:cs="Georgia" w:eastAsia="Georgia" w:hAnsi="Georgia"/>
          <w:color w:val="0F2039"/>
          <w:sz w:val="28"/>
          <w:szCs w:val="28"/>
        </w:rPr>
        <w:t xml:space="preserve">KJ Smith</w:t>
      </w:r>
    </w:p>
    <w:p>
      <w:pPr>
        <w:spacing w:after="240" w:before="0"/>
      </w:pPr>
      <w:r>
        <w:rPr>
          <w:rFonts w:ascii="Calibri" w:cs="Calibri" w:eastAsia="Calibri" w:hAnsi="Calibri"/>
          <w:b/>
          <w:bCs/>
          <w:i w:val="false"/>
          <w:iCs w:val="false"/>
          <w:smallCaps w:val="false"/>
          <w:color w:val="C9A84C"/>
          <w:spacing w:val="80"/>
          <w:sz w:val="14"/>
          <w:szCs w:val="14"/>
        </w:rPr>
        <w:t xml:space="preserve">FOUNDER  ·  ETHOS LOGOS INVESTMENTS</w:t>
      </w:r>
    </w:p>
    <w:p>
      <w:pPr>
        <w:spacing w:after="0" w:before="0"/>
      </w:pPr>
      <w:r>
        <w:rPr>
          <w:rFonts w:ascii="Calibri" w:cs="Calibri" w:eastAsia="Calibri" w:hAnsi="Calibri"/>
          <w:b w:val="false"/>
          <w:bCs w:val="false"/>
          <w:i w:val="false"/>
          <w:iCs w:val="false"/>
          <w:smallCaps w:val="false"/>
          <w:color w:val="6B6B6B"/>
          <w:spacing w:val="80"/>
          <w:sz w:val="14"/>
          <w:szCs w:val="14"/>
        </w:rPr>
        <w:t xml:space="preserve">REPORT DATE  ·  APRIL 2026</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EXECUTIVE SUMMARY</w:t>
      </w:r>
    </w:p>
    <w:p>
      <w:pPr>
        <w:pStyle w:val="Heading1"/>
        <w:spacing w:after="240" w:before="0"/>
      </w:pPr>
      <w:r>
        <w:rPr>
          <w:rFonts w:ascii="Georgia" w:cs="Georgia" w:eastAsia="Georgia" w:hAnsi="Georgia"/>
          <w:color w:val="0F2039"/>
          <w:sz w:val="52"/>
          <w:szCs w:val="52"/>
        </w:rPr>
        <w:t xml:space="preserve">What We Found.</w:t>
      </w:r>
    </w:p>
    <w:p>
      <w:pPr>
        <w:spacing w:after="320" w:before="0"/>
      </w:pPr>
      <w:r>
        <w:rPr>
          <w:rFonts w:ascii="Georgia" w:cs="Georgia" w:eastAsia="Georgia" w:hAnsi="Georgia"/>
          <w:i/>
          <w:iCs/>
          <w:color w:val="A88B3B"/>
          <w:sz w:val="26"/>
          <w:szCs w:val="26"/>
        </w:rPr>
        <w:t xml:space="preserve">A representative Catholic household portfolio — and the hidden exposures within it.</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Campbell household brought to us a portfolio of approximately $1.25 million held across four accounts at a major brokerage: a joint taxable account, two IRAs, and a 401(k) rolled over following a career change. Their holdings reflect what we see in the majority of Catholic households: broadly diversified index funds, a healthcare sector ETF for long-term growth, a target-date fund inside the IRA, and a small cash reserve.</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On the financial side, the portfolio is competently constructed. On the moral side, it contradicts their stated convictions in five distinct ways. They had no idea.</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C9A84C" w:sz="24"/>
              <w:left w:val="none" w:color="F4EFE2" w:sz="0"/>
              <w:bottom w:val="single" w:color="C9A84C" w:sz="24"/>
              <w:right w:val="none" w:color="F4EFE2" w:sz="0"/>
            </w:tcBorders>
            <w:shd w:fill="F4EFE2" w:val="clear"/>
            <w:tcMar>
              <w:top w:type="dxa" w:w="400"/>
              <w:left w:type="dxa" w:w="400"/>
              <w:bottom w:type="dxa" w:w="400"/>
              <w:right w:type="dxa" w:w="400"/>
            </w:tcMar>
          </w:tcPr>
          <w:p>
            <w:pPr>
              <w:spacing w:after="100" w:before="0"/>
              <w:jc w:val="center"/>
            </w:pPr>
            <w:r>
              <w:rPr>
                <w:rFonts w:ascii="Calibri" w:cs="Calibri" w:eastAsia="Calibri" w:hAnsi="Calibri"/>
                <w:b/>
                <w:bCs/>
                <w:i w:val="false"/>
                <w:iCs w:val="false"/>
                <w:smallCaps w:val="false"/>
                <w:color w:val="C9A84C"/>
                <w:spacing w:val="100"/>
                <w:sz w:val="18"/>
                <w:szCs w:val="18"/>
              </w:rPr>
              <w:t xml:space="preserve">CURRENT MORAL ALIGNMENT SCORE</w:t>
            </w:r>
          </w:p>
          <w:p>
            <w:pPr>
              <w:spacing w:after="80" w:before="0"/>
              <w:jc w:val="center"/>
            </w:pPr>
            <w:r>
              <w:rPr>
                <w:rFonts w:ascii="Georgia" w:cs="Georgia" w:eastAsia="Georgia" w:hAnsi="Georgia"/>
                <w:color w:val="9C2B2B"/>
                <w:sz w:val="160"/>
                <w:szCs w:val="160"/>
              </w:rPr>
              <w:t xml:space="preserve">52</w:t>
            </w:r>
          </w:p>
          <w:p>
            <w:pPr>
              <w:spacing w:after="220" w:before="0"/>
              <w:jc w:val="center"/>
            </w:pPr>
            <w:r>
              <w:rPr>
                <w:rFonts w:ascii="Georgia" w:cs="Georgia" w:eastAsia="Georgia" w:hAnsi="Georgia"/>
                <w:i/>
                <w:iCs/>
                <w:color w:val="6B6B6B"/>
                <w:sz w:val="24"/>
                <w:szCs w:val="24"/>
              </w:rPr>
              <w:t xml:space="preserve">out of 100</w:t>
            </w:r>
          </w:p>
          <w:p>
            <w:pPr>
              <w:spacing w:after="80" w:before="0"/>
              <w:jc w:val="center"/>
            </w:pPr>
            <w:r>
              <w:rPr>
                <w:rFonts w:ascii="Calibri" w:cs="Calibri" w:eastAsia="Calibri" w:hAnsi="Calibri"/>
                <w:b w:val="false"/>
                <w:bCs w:val="false"/>
                <w:i w:val="false"/>
                <w:iCs w:val="false"/>
                <w:smallCaps w:val="false"/>
                <w:color w:val="6B6B6B"/>
                <w:spacing w:val="80"/>
                <w:sz w:val="14"/>
                <w:szCs w:val="14"/>
              </w:rPr>
              <w:t xml:space="preserve">PROJECTED SCORE AFTER PROPOSED REALIGNMENT</w:t>
            </w:r>
          </w:p>
          <w:p>
            <w:pPr>
              <w:spacing w:after="0" w:before="0"/>
              <w:jc w:val="center"/>
            </w:pPr>
            <w:r>
              <w:rPr>
                <w:rFonts w:ascii="Georgia" w:cs="Georgia" w:eastAsia="Georgia" w:hAnsi="Georgia"/>
                <w:color w:val="3F6E3F"/>
                <w:sz w:val="44"/>
                <w:szCs w:val="44"/>
              </w:rPr>
              <w:t xml:space="preserve">94 / 100</w:t>
            </w:r>
          </w:p>
        </w:tc>
      </w:tr>
    </w:tbl>
    <w:p>
      <w:r>
        <w:t xml:space="preserve"/>
      </w:r>
    </w:p>
    <w:p>
      <w:pPr>
        <w:spacing w:after="120" w:before="240"/>
      </w:pPr>
      <w:r>
        <w:rPr>
          <w:rFonts w:ascii="Calibri" w:cs="Calibri" w:eastAsia="Calibri" w:hAnsi="Calibri"/>
          <w:b/>
          <w:bCs/>
          <w:i w:val="false"/>
          <w:iCs w:val="false"/>
          <w:smallCaps w:val="false"/>
          <w:color w:val="C9A84C"/>
          <w:spacing w:val="80"/>
          <w:sz w:val="16"/>
          <w:szCs w:val="16"/>
        </w:rPr>
        <w:t xml:space="preserve">TOP FINDINGS</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  Approximately 14% of the portfolio funds pharmaceutical firms with revenue ties to abortifacient contraception and fetal-cell-line research.</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  Approximately 8% of the portfolio sits in media conglomerates and hospitality REITs with adult-content subsidiaries.</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  Approximately 22% of the portfolio includes firms with documented supply-chain labor violations at material thresholds.</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  A 3% exposure to defense contractors with indiscriminate-weapons revenue.</w:t>
      </w:r>
    </w:p>
    <w:p>
      <w:pPr>
        <w:spacing w:after="240" w:before="0" w:line="320"/>
        <w:jc w:val="left"/>
      </w:pPr>
      <w:r>
        <w:rPr>
          <w:rFonts w:ascii="Calibri" w:cs="Calibri" w:eastAsia="Calibri" w:hAnsi="Calibri"/>
          <w:b w:val="false"/>
          <w:bCs w:val="false"/>
          <w:i w:val="false"/>
          <w:iCs w:val="false"/>
          <w:smallCaps w:val="false"/>
          <w:color w:val="3D3D3D"/>
          <w:sz w:val="22"/>
          <w:szCs w:val="22"/>
        </w:rPr>
        <w:t xml:space="preserve">◆  Only 18% of the portfolio meets the Ethos Mandate’s positive-allocation criteria.</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SECTION ONE  ·  SCORING</w:t>
      </w:r>
    </w:p>
    <w:p>
      <w:pPr>
        <w:pStyle w:val="Heading1"/>
        <w:spacing w:after="240" w:before="0"/>
      </w:pPr>
      <w:r>
        <w:rPr>
          <w:rFonts w:ascii="Georgia" w:cs="Georgia" w:eastAsia="Georgia" w:hAnsi="Georgia"/>
          <w:color w:val="0F2039"/>
          <w:sz w:val="52"/>
          <w:szCs w:val="52"/>
        </w:rPr>
        <w:t xml:space="preserve">Exposure by Moral Category.</w:t>
      </w:r>
    </w:p>
    <w:p>
      <w:pPr>
        <w:spacing w:after="320" w:before="0"/>
      </w:pPr>
      <w:r>
        <w:rPr>
          <w:rFonts w:ascii="Georgia" w:cs="Georgia" w:eastAsia="Georgia" w:hAnsi="Georgia"/>
          <w:i/>
          <w:iCs/>
          <w:color w:val="A88B3B"/>
          <w:sz w:val="26"/>
          <w:szCs w:val="26"/>
        </w:rPr>
        <w:t xml:space="preserve">Each category is evaluated against Ethos Mandate thresholds drawn from the USCCB SRI Guidelines and the broader Magisterium.</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Current exposure is calculated as look-through revenue attribution. A holding in a diversified fund is decomposed to its underlying companies, and each company’s revenue mix is screened against the Mandate’s absolute exclusions and threshold filters.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1800"/>
        <w:gridCol w:w="2200"/>
      </w:tblGrid>
      <w:tr>
        <w:trPr>
          <w:tblHeader/>
        </w:trPr>
        <w:tc>
          <w:tcPr>
            <w:tcW w:type="dxa" w:w="336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MORAL CATEGORY</w:t>
            </w:r>
          </w:p>
        </w:tc>
        <w:tc>
          <w:tcPr>
            <w:tcW w:type="dxa" w:w="20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FAF7F0"/>
                <w:sz w:val="18"/>
                <w:szCs w:val="18"/>
              </w:rPr>
              <w:t xml:space="preserve">CURRENT EXPOSURE</w:t>
            </w:r>
          </w:p>
        </w:tc>
        <w:tc>
          <w:tcPr>
            <w:tcW w:type="dxa" w:w="18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FAF7F0"/>
                <w:sz w:val="18"/>
                <w:szCs w:val="18"/>
              </w:rPr>
              <w:t xml:space="preserve">ETHOS TARGET</w:t>
            </w:r>
          </w:p>
        </w:tc>
        <w:tc>
          <w:tcPr>
            <w:tcW w:type="dxa" w:w="22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FAF7F0"/>
                <w:sz w:val="18"/>
                <w:szCs w:val="18"/>
              </w:rPr>
              <w:t xml:space="preserve">STATUS</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Sanctity of Life</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14.3%</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0%</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9C2B2B"/>
                <w:sz w:val="18"/>
                <w:szCs w:val="18"/>
              </w:rPr>
              <w:t xml:space="preserve">FAILS</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Pornography &amp; Indecency</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8.1%</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0%</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9C2B2B"/>
                <w:sz w:val="18"/>
                <w:szCs w:val="18"/>
              </w:rPr>
              <w:t xml:space="preserve">FAILS</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Human Dignity  ·  Labor</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22.4%</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 5%</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B87A2C"/>
                <w:sz w:val="18"/>
                <w:szCs w:val="18"/>
              </w:rPr>
              <w:t xml:space="preserve">REVIEW</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Environmental Harm</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11.2%</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 5%</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B87A2C"/>
                <w:sz w:val="18"/>
                <w:szCs w:val="18"/>
              </w:rPr>
              <w:t xml:space="preserve">REVIEW</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Indiscriminate Weapons</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3.1%</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0%</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9C2B2B"/>
                <w:sz w:val="18"/>
                <w:szCs w:val="18"/>
              </w:rPr>
              <w:t xml:space="preserve">FAILS</w:t>
            </w:r>
          </w:p>
        </w:tc>
      </w:tr>
      <w:tr>
        <w:tc>
          <w:tcPr>
            <w:tcW w:type="dxa" w:w="33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Positive CST-Aligned Holdings</w:t>
            </w:r>
          </w:p>
        </w:tc>
        <w:tc>
          <w:tcPr>
            <w:tcW w:type="dxa" w:w="20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2"/>
                <w:szCs w:val="22"/>
              </w:rPr>
              <w:t xml:space="preserve">17.9%</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val="false"/>
                <w:bCs w:val="false"/>
                <w:i w:val="false"/>
                <w:iCs w:val="false"/>
                <w:color w:val="6B6B6B"/>
                <w:sz w:val="20"/>
                <w:szCs w:val="20"/>
              </w:rPr>
              <w:t xml:space="preserve">≥ 40%</w:t>
            </w:r>
          </w:p>
        </w:tc>
        <w:tc>
          <w:tcPr>
            <w:tcW w:type="dxa" w:w="2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B87A2C"/>
                <w:sz w:val="18"/>
                <w:szCs w:val="18"/>
              </w:rPr>
              <w:t xml:space="preserve">BELOW</w:t>
            </w:r>
          </w:p>
        </w:tc>
      </w:tr>
    </w:tbl>
    <w:p>
      <w:r>
        <w:t xml:space="preserve"/>
      </w:r>
    </w:p>
    <w:p>
      <w:pPr>
        <w:spacing w:after="120" w:before="240"/>
      </w:pPr>
      <w:r>
        <w:rPr>
          <w:rFonts w:ascii="Calibri" w:cs="Calibri" w:eastAsia="Calibri" w:hAnsi="Calibri"/>
          <w:b/>
          <w:bCs/>
          <w:i w:val="false"/>
          <w:iCs w:val="false"/>
          <w:smallCaps w:val="false"/>
          <w:color w:val="C9A84C"/>
          <w:spacing w:val="80"/>
          <w:sz w:val="16"/>
          <w:szCs w:val="16"/>
        </w:rPr>
        <w:t xml:space="preserve">READING THE TABLE</w:t>
      </w:r>
    </w:p>
    <w:p>
      <w:pPr>
        <w:spacing w:after="240" w:before="0" w:line="320"/>
        <w:jc w:val="left"/>
      </w:pPr>
      <w:r>
        <w:rPr>
          <w:rFonts w:ascii="Calibri" w:cs="Calibri" w:eastAsia="Calibri" w:hAnsi="Calibri"/>
          <w:b w:val="false"/>
          <w:bCs w:val="false"/>
          <w:i w:val="false"/>
          <w:iCs w:val="false"/>
          <w:smallCaps w:val="false"/>
          <w:color w:val="3D3D3D"/>
          <w:sz w:val="22"/>
          <w:szCs w:val="22"/>
        </w:rPr>
        <w:t xml:space="preserve">“FAILS” indicates any exposure to an absolute exclusion category — non-negotiable under the Mandate. “REVIEW” indicates material exposure exceeding the threshold filter. “BELOW” indicates positive-allocation targets that are not yet met. A fully aligned portfolio resolves all three states.</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SECTION TWO  ·  HOLDINGS</w:t>
      </w:r>
    </w:p>
    <w:p>
      <w:pPr>
        <w:pStyle w:val="Heading1"/>
        <w:spacing w:after="240" w:before="0"/>
      </w:pPr>
      <w:r>
        <w:rPr>
          <w:rFonts w:ascii="Georgia" w:cs="Georgia" w:eastAsia="Georgia" w:hAnsi="Georgia"/>
          <w:color w:val="0F2039"/>
          <w:sz w:val="52"/>
          <w:szCs w:val="52"/>
        </w:rPr>
        <w:t xml:space="preserve">Line-by-Line Inventory.</w:t>
      </w:r>
    </w:p>
    <w:p>
      <w:pPr>
        <w:spacing w:after="320" w:before="0"/>
      </w:pPr>
      <w:r>
        <w:rPr>
          <w:rFonts w:ascii="Georgia" w:cs="Georgia" w:eastAsia="Georgia" w:hAnsi="Georgia"/>
          <w:i/>
          <w:iCs/>
          <w:color w:val="A88B3B"/>
          <w:sz w:val="26"/>
          <w:szCs w:val="26"/>
        </w:rPr>
        <w:t xml:space="preserve">Every position is decomposed to its underlying revenue mix and evaluated against the Mandate.</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table below shows each position held across the Campbell household’s four accounts, the percentage of the total portfolio it represents, and the material moral exposures identified inside that holding.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1560"/>
        <w:gridCol w:w="2800"/>
      </w:tblGrid>
      <w:tr>
        <w:trPr>
          <w:tblHeader/>
        </w:trPr>
        <w:tc>
          <w:tcPr>
            <w:tcW w:type="dxa" w:w="32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HOLDING</w:t>
            </w:r>
          </w:p>
        </w:tc>
        <w:tc>
          <w:tcPr>
            <w:tcW w:type="dxa" w:w="18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ACCOUNT</w:t>
            </w:r>
          </w:p>
        </w:tc>
        <w:tc>
          <w:tcPr>
            <w:tcW w:type="dxa" w:w="156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FAF7F0"/>
                <w:sz w:val="18"/>
                <w:szCs w:val="18"/>
              </w:rPr>
              <w:t xml:space="preserve">ALLOCATION</w:t>
            </w:r>
          </w:p>
        </w:tc>
        <w:tc>
          <w:tcPr>
            <w:tcW w:type="dxa" w:w="28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FLAGGED EXPOSURE</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Large-Cap Growth Index Fund</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Taxable</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38.2%</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9C2B2B"/>
                <w:sz w:val="18"/>
                <w:szCs w:val="18"/>
              </w:rPr>
              <w:t xml:space="preserve">11.2% Sanctity · 4.1% Pornography</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Global Diversified Equity</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Roth IRA</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22.6%</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9C2B2B"/>
                <w:sz w:val="18"/>
                <w:szCs w:val="18"/>
              </w:rPr>
              <w:t xml:space="preserve">3.1% Sanctity · 2.8% Labor</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Target Retirement 2040</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Rollover IRA</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18.4%</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9C2B2B"/>
                <w:sz w:val="18"/>
                <w:szCs w:val="18"/>
              </w:rPr>
              <w:t xml:space="preserve">14.1% aggregated across categories</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Healthcare Sector ETF</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Taxable</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10.1%</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9C2B2B"/>
                <w:sz w:val="18"/>
                <w:szCs w:val="18"/>
              </w:rPr>
              <w:t xml:space="preserve">38.4% Sanctity — primary driver</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International Small-Cap Fund</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Roth IRA</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4.8%</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B87A2C"/>
                <w:sz w:val="18"/>
                <w:szCs w:val="18"/>
              </w:rPr>
              <w:t xml:space="preserve">Under review · labor threshold</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Short-Term Bond Fund</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Taxable</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3.5%</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3F6E3F"/>
                <w:sz w:val="18"/>
                <w:szCs w:val="18"/>
              </w:rPr>
              <w:t xml:space="preserve">Aligned</w:t>
            </w:r>
          </w:p>
        </w:tc>
      </w:tr>
      <w:tr>
        <w:tc>
          <w:tcPr>
            <w:tcW w:type="dxa" w:w="32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Georgia" w:cs="Georgia" w:eastAsia="Georgia" w:hAnsi="Georgia"/>
                <w:b/>
                <w:bCs/>
                <w:i w:val="false"/>
                <w:iCs w:val="false"/>
                <w:color w:val="0F2039"/>
                <w:sz w:val="20"/>
                <w:szCs w:val="20"/>
              </w:rPr>
              <w:t xml:space="preserve">Money Market (cash reserve)</w:t>
            </w:r>
          </w:p>
        </w:tc>
        <w:tc>
          <w:tcPr>
            <w:tcW w:type="dxa" w:w="1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6B6B6B"/>
                <w:sz w:val="18"/>
                <w:szCs w:val="18"/>
              </w:rPr>
              <w:t xml:space="preserve">Taxable</w:t>
            </w:r>
          </w:p>
        </w:tc>
        <w:tc>
          <w:tcPr>
            <w:tcW w:type="dxa" w:w="156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3D3D3D"/>
                <w:sz w:val="20"/>
                <w:szCs w:val="20"/>
              </w:rPr>
              <w:t xml:space="preserve">2.4%</w:t>
            </w:r>
          </w:p>
        </w:tc>
        <w:tc>
          <w:tcPr>
            <w:tcW w:type="dxa" w:w="2800"/>
            <w:tcBorders>
              <w:top w:val="single" w:color="E5DDC8" w:sz="4"/>
              <w:left w:val="single" w:color="E5DDC8" w:sz="4"/>
              <w:bottom w:val="single" w:color="E5DDC8" w:sz="4"/>
              <w:right w:val="single" w:color="E5DDC8" w:sz="4"/>
            </w:tcBorders>
            <w:tcMar>
              <w:top w:type="dxa" w:w="140"/>
              <w:left w:type="dxa" w:w="160"/>
              <w:bottom w:type="dxa" w:w="140"/>
              <w:right w:type="dxa" w:w="160"/>
            </w:tcMar>
          </w:tcPr>
          <w:p>
            <w:pPr>
              <w:spacing w:after="0" w:before="0"/>
              <w:jc w:val="left"/>
            </w:pPr>
            <w:r>
              <w:rPr>
                <w:rFonts w:ascii="Calibri" w:cs="Calibri" w:eastAsia="Calibri" w:hAnsi="Calibri"/>
                <w:b w:val="false"/>
                <w:bCs w:val="false"/>
                <w:i w:val="false"/>
                <w:iCs w:val="false"/>
                <w:color w:val="3F6E3F"/>
                <w:sz w:val="18"/>
                <w:szCs w:val="18"/>
              </w:rPr>
              <w:t xml:space="preserve">Aligned</w:t>
            </w:r>
          </w:p>
        </w:tc>
      </w:tr>
    </w:tbl>
    <w:p>
      <w:r>
        <w:t xml:space="preserve"/>
      </w:r>
    </w:p>
    <w:p>
      <w:pPr>
        <w:spacing w:after="240" w:before="0" w:line="320"/>
        <w:jc w:val="left"/>
      </w:pPr>
      <w:r>
        <w:rPr>
          <w:rFonts w:ascii="Calibri" w:cs="Calibri" w:eastAsia="Calibri" w:hAnsi="Calibri"/>
          <w:b w:val="false"/>
          <w:bCs w:val="false"/>
          <w:i w:val="false"/>
          <w:iCs w:val="false"/>
          <w:smallCaps w:val="false"/>
          <w:color w:val="3D3D3D"/>
          <w:sz w:val="22"/>
          <w:szCs w:val="22"/>
        </w:rPr>
        <w:t xml:space="preserve">Two positions are already aligned: the Short-Term Bond Fund and the cash reserve. The remaining five holdings — representing 94.1% of the portfolio — require action at varying levels of urgency.</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SECTION THREE  ·  RED FLAGS</w:t>
      </w:r>
    </w:p>
    <w:p>
      <w:pPr>
        <w:pStyle w:val="Heading1"/>
        <w:spacing w:after="240" w:before="0"/>
      </w:pPr>
      <w:r>
        <w:rPr>
          <w:rFonts w:ascii="Georgia" w:cs="Georgia" w:eastAsia="Georgia" w:hAnsi="Georgia"/>
          <w:color w:val="0F2039"/>
          <w:sz w:val="52"/>
          <w:szCs w:val="52"/>
        </w:rPr>
        <w:t xml:space="preserve">The Five Material Exposures.</w:t>
      </w:r>
    </w:p>
    <w:p>
      <w:pPr>
        <w:spacing w:after="320" w:before="0"/>
      </w:pPr>
      <w:r>
        <w:rPr>
          <w:rFonts w:ascii="Georgia" w:cs="Georgia" w:eastAsia="Georgia" w:hAnsi="Georgia"/>
          <w:i/>
          <w:iCs/>
          <w:color w:val="A88B3B"/>
          <w:sz w:val="26"/>
          <w:szCs w:val="26"/>
        </w:rPr>
        <w:t xml:space="preserve">Each is named, sized, grounded in Church teaching, and paired with a specific corrective action.</w:t>
      </w:r>
    </w:p>
    <w:p>
      <w:pPr>
        <w:spacing w:after="120" w:before="240"/>
      </w:pPr>
      <w:r>
        <w:rPr>
          <w:rFonts w:ascii="Calibri" w:cs="Calibri" w:eastAsia="Calibri" w:hAnsi="Calibri"/>
          <w:b/>
          <w:bCs/>
          <w:i w:val="false"/>
          <w:iCs w:val="false"/>
          <w:smallCaps w:val="false"/>
          <w:color w:val="C9A84C"/>
          <w:spacing w:val="80"/>
          <w:sz w:val="16"/>
          <w:szCs w:val="16"/>
        </w:rPr>
        <w:t xml:space="preserve">FLAG Nº 01  ·  SANCTITY OF LIFE</w:t>
      </w:r>
    </w:p>
    <w:p>
      <w:pPr>
        <w:spacing w:after="160" w:before="0"/>
      </w:pPr>
      <w:r>
        <w:rPr>
          <w:rFonts w:ascii="Georgia" w:cs="Georgia" w:eastAsia="Georgia" w:hAnsi="Georgia"/>
          <w:color w:val="0F2039"/>
          <w:sz w:val="32"/>
          <w:szCs w:val="32"/>
        </w:rPr>
        <w:t xml:space="preserve">Pharmaceutical and Healthcare Exposure.</w:t>
      </w:r>
    </w:p>
    <w:p>
      <w:pPr>
        <w:spacing w:after="220" w:before="0"/>
      </w:pPr>
      <w:r>
        <w:rPr>
          <w:rFonts w:ascii="Calibri" w:cs="Calibri" w:eastAsia="Calibri" w:hAnsi="Calibri"/>
          <w:b/>
          <w:bCs/>
          <w:i w:val="false"/>
          <w:iCs w:val="false"/>
          <w:smallCaps w:val="false"/>
          <w:color w:val="C9A84C"/>
          <w:spacing w:val="80"/>
          <w:sz w:val="16"/>
          <w:szCs w:val="16"/>
        </w:rPr>
        <w:t xml:space="preserve">MAGNITUDE  ·  </w:t>
      </w:r>
      <w:r>
        <w:rPr>
          <w:rFonts w:ascii="Calibri" w:cs="Calibri" w:eastAsia="Calibri" w:hAnsi="Calibri"/>
          <w:b/>
          <w:bCs/>
          <w:color w:val="3D3D3D"/>
          <w:sz w:val="20"/>
          <w:szCs w:val="20"/>
        </w:rPr>
        <w:t xml:space="preserve">~14.3% of total portfolio  ·  primarily via Healthcare Sector ETF and Large-Cap Growth Index</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Healthcare Sector ETF holds meaningful positions in firms with documented revenue from abortifacient contraception, emergency contraception, and research programs using embryonic cell lines. Smaller but material positions flow through diversified large-cap index exposure. The USCCB identifies these as absolute exclusions — no reasonable threshold.</w:t>
      </w:r>
    </w:p>
    <w:p>
      <w:pPr>
        <w:spacing w:after="120" w:before="120"/>
      </w:pPr>
      <w:r>
        <w:rPr>
          <w:rFonts w:ascii="Calibri" w:cs="Calibri" w:eastAsia="Calibri" w:hAnsi="Calibri"/>
          <w:b/>
          <w:bCs/>
          <w:i w:val="false"/>
          <w:iCs w:val="false"/>
          <w:smallCaps w:val="false"/>
          <w:color w:val="C9A84C"/>
          <w:spacing w:val="80"/>
          <w:sz w:val="16"/>
          <w:szCs w:val="16"/>
        </w:rPr>
        <w:t xml:space="preserve">PROPOSED ACTION  ·  </w:t>
      </w:r>
      <w:r>
        <w:rPr>
          <w:rFonts w:ascii="Calibri" w:cs="Calibri" w:eastAsia="Calibri" w:hAnsi="Calibri"/>
          <w:color w:val="3D3D3D"/>
          <w:sz w:val="20"/>
          <w:szCs w:val="20"/>
        </w:rPr>
        <w:t xml:space="preserve">Full divestment from the Healthcare Sector ETF; transition underlying large-cap exposure to a direct-indexed S&amp;P 500 replication with Ethos Mandate screens applied.</w:t>
      </w:r>
    </w:p>
    <w:p>
      <w:pPr>
        <w:pBdr>
          <w:left w:val="single" w:color="C9A84C" w:sz="24" w:space="18"/>
        </w:pBdr>
        <w:spacing w:after="120" w:before="280" w:line="320"/>
        <w:ind w:left="200"/>
      </w:pPr>
      <w:r>
        <w:rPr>
          <w:rFonts w:ascii="Georgia" w:cs="Georgia" w:eastAsia="Georgia" w:hAnsi="Georgia"/>
          <w:i/>
          <w:iCs/>
          <w:color w:val="0F2039"/>
          <w:sz w:val="22"/>
          <w:szCs w:val="22"/>
        </w:rPr>
        <w:t xml:space="preserve">“No Catholic investor can in good conscience fund what the Church identifies as the destruction of the unborn.”</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USCCB  ·  Socially Responsible Investment Guidelines</w:t>
      </w:r>
    </w:p>
    <w:p>
      <w:r>
        <w:br w:type="page"/>
      </w:r>
    </w:p>
    <w:p>
      <w:pPr>
        <w:spacing w:after="120" w:before="240"/>
      </w:pPr>
      <w:r>
        <w:rPr>
          <w:rFonts w:ascii="Calibri" w:cs="Calibri" w:eastAsia="Calibri" w:hAnsi="Calibri"/>
          <w:b/>
          <w:bCs/>
          <w:i w:val="false"/>
          <w:iCs w:val="false"/>
          <w:smallCaps w:val="false"/>
          <w:color w:val="C9A84C"/>
          <w:spacing w:val="80"/>
          <w:sz w:val="16"/>
          <w:szCs w:val="16"/>
        </w:rPr>
        <w:t xml:space="preserve">FLAG Nº 02  ·  PORNOGRAPHY  ·  INDECENCY</w:t>
      </w:r>
    </w:p>
    <w:p>
      <w:pPr>
        <w:spacing w:after="160" w:before="0"/>
      </w:pPr>
      <w:r>
        <w:rPr>
          <w:rFonts w:ascii="Georgia" w:cs="Georgia" w:eastAsia="Georgia" w:hAnsi="Georgia"/>
          <w:color w:val="0F2039"/>
          <w:sz w:val="32"/>
          <w:szCs w:val="32"/>
        </w:rPr>
        <w:t xml:space="preserve">Media and Hospitality Conglomerate Exposure.</w:t>
      </w:r>
    </w:p>
    <w:p>
      <w:pPr>
        <w:spacing w:after="220" w:before="0"/>
      </w:pPr>
      <w:r>
        <w:rPr>
          <w:rFonts w:ascii="Calibri" w:cs="Calibri" w:eastAsia="Calibri" w:hAnsi="Calibri"/>
          <w:b/>
          <w:bCs/>
          <w:i w:val="false"/>
          <w:iCs w:val="false"/>
          <w:smallCaps w:val="false"/>
          <w:color w:val="C9A84C"/>
          <w:spacing w:val="80"/>
          <w:sz w:val="16"/>
          <w:szCs w:val="16"/>
        </w:rPr>
        <w:t xml:space="preserve">MAGNITUDE  ·  </w:t>
      </w:r>
      <w:r>
        <w:rPr>
          <w:rFonts w:ascii="Calibri" w:cs="Calibri" w:eastAsia="Calibri" w:hAnsi="Calibri"/>
          <w:b/>
          <w:bCs/>
          <w:color w:val="3D3D3D"/>
          <w:sz w:val="20"/>
          <w:szCs w:val="20"/>
        </w:rPr>
        <w:t xml:space="preserve">~8.1% of total portfolio  ·  via Large-Cap Growth Index and Target Retirement 2040</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Several large-cap media firms derive meaningful revenue from adult-content subsidiaries, including on-demand streaming divisions of hotel chains held within the portfolio. The Target Retirement 2040 fund’s passive structure includes these holdings without filter.</w:t>
      </w:r>
    </w:p>
    <w:p>
      <w:pPr>
        <w:spacing w:after="120" w:before="120"/>
      </w:pPr>
      <w:r>
        <w:rPr>
          <w:rFonts w:ascii="Calibri" w:cs="Calibri" w:eastAsia="Calibri" w:hAnsi="Calibri"/>
          <w:b/>
          <w:bCs/>
          <w:i w:val="false"/>
          <w:iCs w:val="false"/>
          <w:smallCaps w:val="false"/>
          <w:color w:val="C9A84C"/>
          <w:spacing w:val="80"/>
          <w:sz w:val="16"/>
          <w:szCs w:val="16"/>
        </w:rPr>
        <w:t xml:space="preserve">PROPOSED ACTION  ·  </w:t>
      </w:r>
      <w:r>
        <w:rPr>
          <w:rFonts w:ascii="Calibri" w:cs="Calibri" w:eastAsia="Calibri" w:hAnsi="Calibri"/>
          <w:color w:val="3D3D3D"/>
          <w:sz w:val="20"/>
          <w:szCs w:val="20"/>
        </w:rPr>
        <w:t xml:space="preserve">Replace the Target Retirement 2040 fund with a CST-screened glidepath allocation across the IRA. Apply threshold screens to the Large-Cap Growth Index via direct indexing.</w:t>
      </w:r>
    </w:p>
    <w:p>
      <w:pPr>
        <w:pBdr>
          <w:left w:val="single" w:color="C9A84C" w:sz="24" w:space="18"/>
        </w:pBdr>
        <w:spacing w:after="120" w:before="280" w:line="320"/>
        <w:ind w:left="200"/>
      </w:pPr>
      <w:r>
        <w:rPr>
          <w:rFonts w:ascii="Georgia" w:cs="Georgia" w:eastAsia="Georgia" w:hAnsi="Georgia"/>
          <w:i/>
          <w:iCs/>
          <w:color w:val="0F2039"/>
          <w:sz w:val="22"/>
          <w:szCs w:val="22"/>
        </w:rPr>
        <w:t xml:space="preserve">“Every human being is created in the image of God, and this dignity is not negotiable.”</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Compendium of the Social Doctrine of the Church</w:t>
      </w:r>
    </w:p>
    <w:p>
      <w:r>
        <w:br w:type="page"/>
      </w:r>
    </w:p>
    <w:p>
      <w:pPr>
        <w:spacing w:after="120" w:before="240"/>
      </w:pPr>
      <w:r>
        <w:rPr>
          <w:rFonts w:ascii="Calibri" w:cs="Calibri" w:eastAsia="Calibri" w:hAnsi="Calibri"/>
          <w:b/>
          <w:bCs/>
          <w:i w:val="false"/>
          <w:iCs w:val="false"/>
          <w:smallCaps w:val="false"/>
          <w:color w:val="C9A84C"/>
          <w:spacing w:val="80"/>
          <w:sz w:val="16"/>
          <w:szCs w:val="16"/>
        </w:rPr>
        <w:t xml:space="preserve">FLAG Nº 03  ·  HUMAN DIGNITY  ·  LABOR</w:t>
      </w:r>
    </w:p>
    <w:p>
      <w:pPr>
        <w:spacing w:after="160" w:before="0"/>
      </w:pPr>
      <w:r>
        <w:rPr>
          <w:rFonts w:ascii="Georgia" w:cs="Georgia" w:eastAsia="Georgia" w:hAnsi="Georgia"/>
          <w:color w:val="0F2039"/>
          <w:sz w:val="32"/>
          <w:szCs w:val="32"/>
        </w:rPr>
        <w:t xml:space="preserve">Supply-Chain Violations.</w:t>
      </w:r>
    </w:p>
    <w:p>
      <w:pPr>
        <w:spacing w:after="220" w:before="0"/>
      </w:pPr>
      <w:r>
        <w:rPr>
          <w:rFonts w:ascii="Calibri" w:cs="Calibri" w:eastAsia="Calibri" w:hAnsi="Calibri"/>
          <w:b/>
          <w:bCs/>
          <w:i w:val="false"/>
          <w:iCs w:val="false"/>
          <w:smallCaps w:val="false"/>
          <w:color w:val="C9A84C"/>
          <w:spacing w:val="80"/>
          <w:sz w:val="16"/>
          <w:szCs w:val="16"/>
        </w:rPr>
        <w:t xml:space="preserve">MAGNITUDE  ·  </w:t>
      </w:r>
      <w:r>
        <w:rPr>
          <w:rFonts w:ascii="Calibri" w:cs="Calibri" w:eastAsia="Calibri" w:hAnsi="Calibri"/>
          <w:b/>
          <w:bCs/>
          <w:color w:val="3D3D3D"/>
          <w:sz w:val="20"/>
          <w:szCs w:val="20"/>
        </w:rPr>
        <w:t xml:space="preserve">~22.4% of total portfolio  ·  diffuse across equity holdings</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A significant portion of the portfolio is exposed to multinational firms with documented supply-chain labor violations — particularly in cobalt mining, textile manufacturing, and electronics assembly. No individual holding fails outright, but cumulative exposure materially exceeds the Mandate’s 5% threshold.</w:t>
      </w:r>
    </w:p>
    <w:p>
      <w:pPr>
        <w:spacing w:after="120" w:before="120"/>
      </w:pPr>
      <w:r>
        <w:rPr>
          <w:rFonts w:ascii="Calibri" w:cs="Calibri" w:eastAsia="Calibri" w:hAnsi="Calibri"/>
          <w:b/>
          <w:bCs/>
          <w:i w:val="false"/>
          <w:iCs w:val="false"/>
          <w:smallCaps w:val="false"/>
          <w:color w:val="C9A84C"/>
          <w:spacing w:val="80"/>
          <w:sz w:val="16"/>
          <w:szCs w:val="16"/>
        </w:rPr>
        <w:t xml:space="preserve">PROPOSED ACTION  ·  </w:t>
      </w:r>
      <w:r>
        <w:rPr>
          <w:rFonts w:ascii="Calibri" w:cs="Calibri" w:eastAsia="Calibri" w:hAnsi="Calibri"/>
          <w:color w:val="3D3D3D"/>
          <w:sz w:val="20"/>
          <w:szCs w:val="20"/>
        </w:rPr>
        <w:t xml:space="preserve">Apply labor-threshold screens at the direct-indexing layer. Tilt toward firms with published supply-chain audits and third-party verification. Projected reduction: 22.4% → 3.8%.</w:t>
      </w:r>
    </w:p>
    <w:p>
      <w:pPr>
        <w:pBdr>
          <w:left w:val="single" w:color="C9A84C" w:sz="24" w:space="18"/>
        </w:pBdr>
        <w:spacing w:after="120" w:before="280" w:line="320"/>
        <w:ind w:left="200"/>
      </w:pPr>
      <w:r>
        <w:rPr>
          <w:rFonts w:ascii="Georgia" w:cs="Georgia" w:eastAsia="Georgia" w:hAnsi="Georgia"/>
          <w:i/>
          <w:iCs/>
          <w:color w:val="0F2039"/>
          <w:sz w:val="22"/>
          <w:szCs w:val="22"/>
        </w:rPr>
        <w:t xml:space="preserve">“The laborer is worthy of his hire.”</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Luke 10:7</w:t>
      </w:r>
    </w:p>
    <w:p>
      <w:r>
        <w:br w:type="page"/>
      </w:r>
    </w:p>
    <w:p>
      <w:pPr>
        <w:spacing w:after="120" w:before="240"/>
      </w:pPr>
      <w:r>
        <w:rPr>
          <w:rFonts w:ascii="Calibri" w:cs="Calibri" w:eastAsia="Calibri" w:hAnsi="Calibri"/>
          <w:b/>
          <w:bCs/>
          <w:i w:val="false"/>
          <w:iCs w:val="false"/>
          <w:smallCaps w:val="false"/>
          <w:color w:val="C9A84C"/>
          <w:spacing w:val="80"/>
          <w:sz w:val="16"/>
          <w:szCs w:val="16"/>
        </w:rPr>
        <w:t xml:space="preserve">FLAG Nº 04  ·  ENVIRONMENTAL HARM</w:t>
      </w:r>
    </w:p>
    <w:p>
      <w:pPr>
        <w:spacing w:after="160" w:before="0"/>
      </w:pPr>
      <w:r>
        <w:rPr>
          <w:rFonts w:ascii="Georgia" w:cs="Georgia" w:eastAsia="Georgia" w:hAnsi="Georgia"/>
          <w:color w:val="0F2039"/>
          <w:sz w:val="32"/>
          <w:szCs w:val="32"/>
        </w:rPr>
        <w:t xml:space="preserve">Extractive and Industrial Exposure.</w:t>
      </w:r>
    </w:p>
    <w:p>
      <w:pPr>
        <w:spacing w:after="220" w:before="0"/>
      </w:pPr>
      <w:r>
        <w:rPr>
          <w:rFonts w:ascii="Calibri" w:cs="Calibri" w:eastAsia="Calibri" w:hAnsi="Calibri"/>
          <w:b/>
          <w:bCs/>
          <w:i w:val="false"/>
          <w:iCs w:val="false"/>
          <w:smallCaps w:val="false"/>
          <w:color w:val="C9A84C"/>
          <w:spacing w:val="80"/>
          <w:sz w:val="16"/>
          <w:szCs w:val="16"/>
        </w:rPr>
        <w:t xml:space="preserve">MAGNITUDE  ·  </w:t>
      </w:r>
      <w:r>
        <w:rPr>
          <w:rFonts w:ascii="Calibri" w:cs="Calibri" w:eastAsia="Calibri" w:hAnsi="Calibri"/>
          <w:b/>
          <w:bCs/>
          <w:color w:val="3D3D3D"/>
          <w:sz w:val="20"/>
          <w:szCs w:val="20"/>
        </w:rPr>
        <w:t xml:space="preserve">~11.2% of total portfolio</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Exposure to extractive firms with documented environmental harm concentrated in communities with limited recourse. Laudato Si’ frames this as a justice question, not an ideological one — the poor bear the cost.</w:t>
      </w:r>
    </w:p>
    <w:p>
      <w:pPr>
        <w:spacing w:after="120" w:before="120"/>
      </w:pPr>
      <w:r>
        <w:rPr>
          <w:rFonts w:ascii="Calibri" w:cs="Calibri" w:eastAsia="Calibri" w:hAnsi="Calibri"/>
          <w:b/>
          <w:bCs/>
          <w:i w:val="false"/>
          <w:iCs w:val="false"/>
          <w:smallCaps w:val="false"/>
          <w:color w:val="C9A84C"/>
          <w:spacing w:val="80"/>
          <w:sz w:val="16"/>
          <w:szCs w:val="16"/>
        </w:rPr>
        <w:t xml:space="preserve">PROPOSED ACTION  ·  </w:t>
      </w:r>
      <w:r>
        <w:rPr>
          <w:rFonts w:ascii="Calibri" w:cs="Calibri" w:eastAsia="Calibri" w:hAnsi="Calibri"/>
          <w:color w:val="3D3D3D"/>
          <w:sz w:val="20"/>
          <w:szCs w:val="20"/>
        </w:rPr>
        <w:t xml:space="preserve">Apply environmental-harm threshold screens. Retain exposure to responsible operators; exclude firms with unresolved violations.</w:t>
      </w:r>
    </w:p>
    <w:p>
      <w:pPr>
        <w:pBdr>
          <w:left w:val="single" w:color="C9A84C" w:sz="24" w:space="18"/>
        </w:pBdr>
        <w:spacing w:after="120" w:before="280" w:line="320"/>
        <w:ind w:left="200"/>
      </w:pPr>
      <w:r>
        <w:rPr>
          <w:rFonts w:ascii="Georgia" w:cs="Georgia" w:eastAsia="Georgia" w:hAnsi="Georgia"/>
          <w:i/>
          <w:iCs/>
          <w:color w:val="0F2039"/>
          <w:sz w:val="22"/>
          <w:szCs w:val="22"/>
        </w:rPr>
        <w:t xml:space="preserve">“A true ecological approach always becomes a social approach — to hear both the cry of the earth and the cry of the poor.”</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Pope Francis  ·  Laudato Si’</w:t>
      </w:r>
    </w:p>
    <w:p>
      <w:r>
        <w:br w:type="page"/>
      </w:r>
    </w:p>
    <w:p>
      <w:pPr>
        <w:spacing w:after="120" w:before="240"/>
      </w:pPr>
      <w:r>
        <w:rPr>
          <w:rFonts w:ascii="Calibri" w:cs="Calibri" w:eastAsia="Calibri" w:hAnsi="Calibri"/>
          <w:b/>
          <w:bCs/>
          <w:i w:val="false"/>
          <w:iCs w:val="false"/>
          <w:smallCaps w:val="false"/>
          <w:color w:val="C9A84C"/>
          <w:spacing w:val="80"/>
          <w:sz w:val="16"/>
          <w:szCs w:val="16"/>
        </w:rPr>
        <w:t xml:space="preserve">FLAG Nº 05  ·  INDISCRIMINATE WEAPONS</w:t>
      </w:r>
    </w:p>
    <w:p>
      <w:pPr>
        <w:spacing w:after="160" w:before="0"/>
      </w:pPr>
      <w:r>
        <w:rPr>
          <w:rFonts w:ascii="Georgia" w:cs="Georgia" w:eastAsia="Georgia" w:hAnsi="Georgia"/>
          <w:color w:val="0F2039"/>
          <w:sz w:val="32"/>
          <w:szCs w:val="32"/>
        </w:rPr>
        <w:t xml:space="preserve">Defense Contractor Exposure.</w:t>
      </w:r>
    </w:p>
    <w:p>
      <w:pPr>
        <w:spacing w:after="220" w:before="0"/>
      </w:pPr>
      <w:r>
        <w:rPr>
          <w:rFonts w:ascii="Calibri" w:cs="Calibri" w:eastAsia="Calibri" w:hAnsi="Calibri"/>
          <w:b/>
          <w:bCs/>
          <w:i w:val="false"/>
          <w:iCs w:val="false"/>
          <w:smallCaps w:val="false"/>
          <w:color w:val="C9A84C"/>
          <w:spacing w:val="80"/>
          <w:sz w:val="16"/>
          <w:szCs w:val="16"/>
        </w:rPr>
        <w:t xml:space="preserve">MAGNITUDE  ·  </w:t>
      </w:r>
      <w:r>
        <w:rPr>
          <w:rFonts w:ascii="Calibri" w:cs="Calibri" w:eastAsia="Calibri" w:hAnsi="Calibri"/>
          <w:b/>
          <w:bCs/>
          <w:color w:val="3D3D3D"/>
          <w:sz w:val="20"/>
          <w:szCs w:val="20"/>
        </w:rPr>
        <w:t xml:space="preserve">~3.1% of total portfolio  ·  via Large-Cap Growth Index</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A small but non-zero exposure to firms deriving revenue from weapons the Catholic just-war tradition identifies as indiscriminate by nature. Absolute exclusion under the Mandate.</w:t>
      </w:r>
    </w:p>
    <w:p>
      <w:pPr>
        <w:spacing w:after="120" w:before="120"/>
      </w:pPr>
      <w:r>
        <w:rPr>
          <w:rFonts w:ascii="Calibri" w:cs="Calibri" w:eastAsia="Calibri" w:hAnsi="Calibri"/>
          <w:b/>
          <w:bCs/>
          <w:i w:val="false"/>
          <w:iCs w:val="false"/>
          <w:smallCaps w:val="false"/>
          <w:color w:val="C9A84C"/>
          <w:spacing w:val="80"/>
          <w:sz w:val="16"/>
          <w:szCs w:val="16"/>
        </w:rPr>
        <w:t xml:space="preserve">PROPOSED ACTION  ·  </w:t>
      </w:r>
      <w:r>
        <w:rPr>
          <w:rFonts w:ascii="Calibri" w:cs="Calibri" w:eastAsia="Calibri" w:hAnsi="Calibri"/>
          <w:color w:val="3D3D3D"/>
          <w:sz w:val="20"/>
          <w:szCs w:val="20"/>
        </w:rPr>
        <w:t xml:space="preserve">Exclude named firms at the direct-indexing layer. Retain exposure to legitimate-defense contractors that do not meet the indiscriminate-weapons test.</w:t>
      </w:r>
    </w:p>
    <w:p>
      <w:pPr>
        <w:pBdr>
          <w:left w:val="single" w:color="C9A84C" w:sz="24" w:space="18"/>
        </w:pBdr>
        <w:spacing w:after="120" w:before="280" w:line="320"/>
        <w:ind w:left="200"/>
      </w:pPr>
      <w:r>
        <w:rPr>
          <w:rFonts w:ascii="Georgia" w:cs="Georgia" w:eastAsia="Georgia" w:hAnsi="Georgia"/>
          <w:i/>
          <w:iCs/>
          <w:color w:val="0F2039"/>
          <w:sz w:val="22"/>
          <w:szCs w:val="22"/>
        </w:rPr>
        <w:t xml:space="preserve">“The use of arms must not produce evils and disorders graver than the evil to be eliminated.”</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Catechism of the Catholic Church, § 2309</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SECTION FOUR  ·  TRANSITION</w:t>
      </w:r>
    </w:p>
    <w:p>
      <w:pPr>
        <w:pStyle w:val="Heading1"/>
        <w:spacing w:after="240" w:before="0"/>
      </w:pPr>
      <w:r>
        <w:rPr>
          <w:rFonts w:ascii="Georgia" w:cs="Georgia" w:eastAsia="Georgia" w:hAnsi="Georgia"/>
          <w:color w:val="0F2039"/>
          <w:sz w:val="52"/>
          <w:szCs w:val="52"/>
        </w:rPr>
        <w:t xml:space="preserve">The Tax-Aware Path to Alignment.</w:t>
      </w:r>
    </w:p>
    <w:p>
      <w:pPr>
        <w:spacing w:after="320" w:before="0"/>
      </w:pPr>
      <w:r>
        <w:rPr>
          <w:rFonts w:ascii="Georgia" w:cs="Georgia" w:eastAsia="Georgia" w:hAnsi="Georgia"/>
          <w:i/>
          <w:iCs/>
          <w:color w:val="A88B3B"/>
          <w:sz w:val="26"/>
          <w:szCs w:val="26"/>
        </w:rPr>
        <w:t xml:space="preserve">Moral alignment does not require abandoning tax discipline. It requires sequencing it properly.</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proposed transition unfolds across four phases. Retirement accounts realign first, because those moves carry no tax consequence and capture 58% of the total alignment gap. Taxable transitions follow within a pre-defined capital-gains budget the client has approved.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3560"/>
        <w:gridCol w:w="2600"/>
      </w:tblGrid>
      <w:tr>
        <w:trPr>
          <w:tblHeader/>
        </w:trPr>
        <w:tc>
          <w:tcPr>
            <w:tcW w:type="dxa" w:w="14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center"/>
            </w:pPr>
            <w:r>
              <w:rPr>
                <w:rFonts w:ascii="Calibri" w:cs="Calibri" w:eastAsia="Calibri" w:hAnsi="Calibri"/>
                <w:b/>
                <w:bCs/>
                <w:i w:val="false"/>
                <w:iCs w:val="false"/>
                <w:color w:val="FAF7F0"/>
                <w:sz w:val="18"/>
                <w:szCs w:val="18"/>
              </w:rPr>
              <w:t xml:space="preserve">PHASE</w:t>
            </w:r>
          </w:p>
        </w:tc>
        <w:tc>
          <w:tcPr>
            <w:tcW w:type="dxa" w:w="18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WINDOW</w:t>
            </w:r>
          </w:p>
        </w:tc>
        <w:tc>
          <w:tcPr>
            <w:tcW w:type="dxa" w:w="356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SCOPE</w:t>
            </w:r>
          </w:p>
        </w:tc>
        <w:tc>
          <w:tcPr>
            <w:tcW w:type="dxa" w:w="2600"/>
            <w:tcBorders>
              <w:top w:val="single" w:color="E5DDC8" w:sz="4"/>
              <w:left w:val="single" w:color="E5DDC8" w:sz="4"/>
              <w:bottom w:val="single" w:color="E5DDC8" w:sz="4"/>
              <w:right w:val="single" w:color="E5DDC8" w:sz="4"/>
            </w:tcBorders>
            <w:shd w:fill="0F2039" w:val="clear"/>
            <w:tcMar>
              <w:top w:type="dxa" w:w="140"/>
              <w:left w:type="dxa" w:w="160"/>
              <w:bottom w:type="dxa" w:w="140"/>
              <w:right w:type="dxa" w:w="160"/>
            </w:tcMar>
          </w:tcPr>
          <w:p>
            <w:pPr>
              <w:spacing w:after="0" w:before="0"/>
              <w:jc w:val="left"/>
            </w:pPr>
            <w:r>
              <w:rPr>
                <w:rFonts w:ascii="Calibri" w:cs="Calibri" w:eastAsia="Calibri" w:hAnsi="Calibri"/>
                <w:b/>
                <w:bCs/>
                <w:i w:val="false"/>
                <w:iCs w:val="false"/>
                <w:color w:val="FAF7F0"/>
                <w:sz w:val="18"/>
                <w:szCs w:val="18"/>
              </w:rPr>
              <w:t xml:space="preserve">TAX IMPACT</w:t>
            </w:r>
          </w:p>
        </w:tc>
      </w:tr>
      <w:tr>
        <w:tc>
          <w:tcPr>
            <w:tcW w:type="dxa" w:w="14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center"/>
            </w:pPr>
            <w:r>
              <w:rPr>
                <w:rFonts w:ascii="Georgia" w:cs="Georgia" w:eastAsia="Georgia" w:hAnsi="Georgia"/>
                <w:b/>
                <w:bCs/>
                <w:i w:val="false"/>
                <w:iCs w:val="false"/>
                <w:color w:val="C9A84C"/>
                <w:sz w:val="32"/>
                <w:szCs w:val="32"/>
              </w:rPr>
              <w:t xml:space="preserve">I</w:t>
            </w:r>
          </w:p>
        </w:tc>
        <w:tc>
          <w:tcPr>
            <w:tcW w:type="dxa" w:w="18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bCs/>
                <w:i w:val="false"/>
                <w:iCs w:val="false"/>
                <w:color w:val="0F2039"/>
                <w:sz w:val="18"/>
                <w:szCs w:val="18"/>
              </w:rPr>
              <w:t xml:space="preserve">Days 0 – 30</w:t>
            </w:r>
          </w:p>
        </w:tc>
        <w:tc>
          <w:tcPr>
            <w:tcW w:type="dxa" w:w="356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val="false"/>
                <w:iCs w:val="false"/>
                <w:color w:val="3D3D3D"/>
                <w:sz w:val="18"/>
                <w:szCs w:val="18"/>
              </w:rPr>
              <w:t xml:space="preserve">Retirement accounts (Roth IRA, Rollover IRA). Full realignment of IRA holdings and replacement of Target Retirement 2040.</w:t>
            </w:r>
          </w:p>
        </w:tc>
        <w:tc>
          <w:tcPr>
            <w:tcW w:type="dxa" w:w="26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iCs/>
                <w:color w:val="6B6B6B"/>
                <w:sz w:val="18"/>
                <w:szCs w:val="18"/>
              </w:rPr>
              <w:t xml:space="preserve">None  ·  tax-qualified</w:t>
            </w:r>
          </w:p>
        </w:tc>
      </w:tr>
      <w:tr>
        <w:tc>
          <w:tcPr>
            <w:tcW w:type="dxa" w:w="14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center"/>
            </w:pPr>
            <w:r>
              <w:rPr>
                <w:rFonts w:ascii="Georgia" w:cs="Georgia" w:eastAsia="Georgia" w:hAnsi="Georgia"/>
                <w:b/>
                <w:bCs/>
                <w:i w:val="false"/>
                <w:iCs w:val="false"/>
                <w:color w:val="C9A84C"/>
                <w:sz w:val="32"/>
                <w:szCs w:val="32"/>
              </w:rPr>
              <w:t xml:space="preserve">II</w:t>
            </w:r>
          </w:p>
        </w:tc>
        <w:tc>
          <w:tcPr>
            <w:tcW w:type="dxa" w:w="18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bCs/>
                <w:i w:val="false"/>
                <w:iCs w:val="false"/>
                <w:color w:val="0F2039"/>
                <w:sz w:val="18"/>
                <w:szCs w:val="18"/>
              </w:rPr>
              <w:t xml:space="preserve">Days 30 – 90</w:t>
            </w:r>
          </w:p>
        </w:tc>
        <w:tc>
          <w:tcPr>
            <w:tcW w:type="dxa" w:w="356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val="false"/>
                <w:iCs w:val="false"/>
                <w:color w:val="3D3D3D"/>
                <w:sz w:val="18"/>
                <w:szCs w:val="18"/>
              </w:rPr>
              <w:t xml:space="preserve">Taxable account transitions. Divest Healthcare Sector ETF; begin direct-indexed replication of large-cap core.</w:t>
            </w:r>
          </w:p>
        </w:tc>
        <w:tc>
          <w:tcPr>
            <w:tcW w:type="dxa" w:w="26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iCs/>
                <w:color w:val="6B6B6B"/>
                <w:sz w:val="18"/>
                <w:szCs w:val="18"/>
              </w:rPr>
              <w:t xml:space="preserve">Within ~$12,000 LTCG budget</w:t>
            </w:r>
          </w:p>
        </w:tc>
      </w:tr>
      <w:tr>
        <w:tc>
          <w:tcPr>
            <w:tcW w:type="dxa" w:w="14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center"/>
            </w:pPr>
            <w:r>
              <w:rPr>
                <w:rFonts w:ascii="Georgia" w:cs="Georgia" w:eastAsia="Georgia" w:hAnsi="Georgia"/>
                <w:b/>
                <w:bCs/>
                <w:i w:val="false"/>
                <w:iCs w:val="false"/>
                <w:color w:val="C9A84C"/>
                <w:sz w:val="32"/>
                <w:szCs w:val="32"/>
              </w:rPr>
              <w:t xml:space="preserve">III</w:t>
            </w:r>
          </w:p>
        </w:tc>
        <w:tc>
          <w:tcPr>
            <w:tcW w:type="dxa" w:w="18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bCs/>
                <w:i w:val="false"/>
                <w:iCs w:val="false"/>
                <w:color w:val="0F2039"/>
                <w:sz w:val="18"/>
                <w:szCs w:val="18"/>
              </w:rPr>
              <w:t xml:space="preserve">Days 90 – 180</w:t>
            </w:r>
          </w:p>
        </w:tc>
        <w:tc>
          <w:tcPr>
            <w:tcW w:type="dxa" w:w="356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val="false"/>
                <w:iCs w:val="false"/>
                <w:color w:val="3D3D3D"/>
                <w:sz w:val="18"/>
                <w:szCs w:val="18"/>
              </w:rPr>
              <w:t xml:space="preserve">Complete direct-indexing tilt. Apply labor-threshold and environmental screens. Finalize positive-allocation sleeve.</w:t>
            </w:r>
          </w:p>
        </w:tc>
        <w:tc>
          <w:tcPr>
            <w:tcW w:type="dxa" w:w="26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iCs/>
                <w:color w:val="6B6B6B"/>
                <w:sz w:val="18"/>
                <w:szCs w:val="18"/>
              </w:rPr>
              <w:t xml:space="preserve">Harvested against offsetting losses</w:t>
            </w:r>
          </w:p>
        </w:tc>
      </w:tr>
      <w:tr>
        <w:tc>
          <w:tcPr>
            <w:tcW w:type="dxa" w:w="14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center"/>
            </w:pPr>
            <w:r>
              <w:rPr>
                <w:rFonts w:ascii="Georgia" w:cs="Georgia" w:eastAsia="Georgia" w:hAnsi="Georgia"/>
                <w:b/>
                <w:bCs/>
                <w:i w:val="false"/>
                <w:iCs w:val="false"/>
                <w:color w:val="C9A84C"/>
                <w:sz w:val="32"/>
                <w:szCs w:val="32"/>
              </w:rPr>
              <w:t xml:space="preserve">IV</w:t>
            </w:r>
          </w:p>
        </w:tc>
        <w:tc>
          <w:tcPr>
            <w:tcW w:type="dxa" w:w="18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bCs/>
                <w:i w:val="false"/>
                <w:iCs w:val="false"/>
                <w:color w:val="0F2039"/>
                <w:sz w:val="18"/>
                <w:szCs w:val="18"/>
              </w:rPr>
              <w:t xml:space="preserve">Ongoing</w:t>
            </w:r>
          </w:p>
        </w:tc>
        <w:tc>
          <w:tcPr>
            <w:tcW w:type="dxa" w:w="356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val="false"/>
                <w:iCs w:val="false"/>
                <w:color w:val="3D3D3D"/>
                <w:sz w:val="18"/>
                <w:szCs w:val="18"/>
              </w:rPr>
              <w:t xml:space="preserve">Quarterly alignment report, annual deep review, proxy-voting engagement, corporate advocacy.</w:t>
            </w:r>
          </w:p>
        </w:tc>
        <w:tc>
          <w:tcPr>
            <w:tcW w:type="dxa" w:w="2600"/>
            <w:tcBorders>
              <w:top w:val="single" w:color="E5DDC8" w:sz="4"/>
              <w:left w:val="single" w:color="E5DDC8" w:sz="4"/>
              <w:bottom w:val="single" w:color="E5DDC8" w:sz="4"/>
              <w:right w:val="single" w:color="E5DDC8" w:sz="4"/>
            </w:tcBorders>
            <w:tcMar>
              <w:top w:type="dxa" w:w="200"/>
              <w:left w:type="dxa" w:w="160"/>
              <w:bottom w:type="dxa" w:w="200"/>
              <w:right w:type="dxa" w:w="160"/>
            </w:tcMar>
          </w:tcPr>
          <w:p>
            <w:pPr>
              <w:spacing w:after="0" w:before="0"/>
              <w:jc w:val="left"/>
            </w:pPr>
            <w:r>
              <w:rPr>
                <w:rFonts w:ascii="Calibri" w:cs="Calibri" w:eastAsia="Calibri" w:hAnsi="Calibri"/>
                <w:b w:val="false"/>
                <w:bCs w:val="false"/>
                <w:i/>
                <w:iCs/>
                <w:color w:val="6B6B6B"/>
                <w:sz w:val="18"/>
                <w:szCs w:val="18"/>
              </w:rPr>
              <w:t xml:space="preserve">Monitored continuously</w:t>
            </w:r>
          </w:p>
        </w:tc>
      </w:tr>
    </w:tbl>
    <w:p>
      <w:r>
        <w:t xml:space="preserve"/>
      </w:r>
    </w:p>
    <w:p>
      <w:pPr>
        <w:spacing w:after="120" w:before="240"/>
      </w:pPr>
      <w:r>
        <w:rPr>
          <w:rFonts w:ascii="Calibri" w:cs="Calibri" w:eastAsia="Calibri" w:hAnsi="Calibri"/>
          <w:b/>
          <w:bCs/>
          <w:i w:val="false"/>
          <w:iCs w:val="false"/>
          <w:smallCaps w:val="false"/>
          <w:color w:val="C9A84C"/>
          <w:spacing w:val="80"/>
          <w:sz w:val="16"/>
          <w:szCs w:val="16"/>
        </w:rPr>
        <w:t xml:space="preserve">PROJECTED OUTCOME</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At the end of Phase III, the household’s projected Moral Alignment Score rises from 52 to approximately 94. The residual 6-point gap reflects small positions where the Mandate’s threshold filters permit remote material cooperation within a diversified portfolio — a deliberately conservative tolerance, not a compromise.</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SECTION FIVE  ·  STEWARDSHIP</w:t>
      </w:r>
    </w:p>
    <w:p>
      <w:pPr>
        <w:pStyle w:val="Heading1"/>
        <w:spacing w:after="240" w:before="0"/>
      </w:pPr>
      <w:r>
        <w:rPr>
          <w:rFonts w:ascii="Georgia" w:cs="Georgia" w:eastAsia="Georgia" w:hAnsi="Georgia"/>
          <w:color w:val="0F2039"/>
          <w:sz w:val="52"/>
          <w:szCs w:val="52"/>
        </w:rPr>
        <w:t xml:space="preserve">What You Receive, Quarter After Quarter.</w:t>
      </w:r>
    </w:p>
    <w:p>
      <w:pPr>
        <w:spacing w:after="320" w:before="0"/>
      </w:pPr>
      <w:r>
        <w:rPr>
          <w:rFonts w:ascii="Georgia" w:cs="Georgia" w:eastAsia="Georgia" w:hAnsi="Georgia"/>
          <w:i/>
          <w:iCs/>
          <w:color w:val="A88B3B"/>
          <w:sz w:val="26"/>
          <w:szCs w:val="26"/>
        </w:rPr>
        <w:t xml:space="preserve">An audit is a beginning, not an ending. Alignment requires continuous attention.</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Moral Portfolio Audit is the first step of a five-stage client journey — awakening, diagnosis, conversion, formation, multiplication. What follows the audit is what keeps the alignment true.</w:t>
      </w:r>
    </w:p>
    <w:p>
      <w:pPr>
        <w:spacing w:after="120" w:before="240"/>
      </w:pPr>
      <w:r>
        <w:rPr>
          <w:rFonts w:ascii="Calibri" w:cs="Calibri" w:eastAsia="Calibri" w:hAnsi="Calibri"/>
          <w:b/>
          <w:bCs/>
          <w:i w:val="false"/>
          <w:iCs w:val="false"/>
          <w:smallCaps w:val="false"/>
          <w:color w:val="C9A84C"/>
          <w:spacing w:val="80"/>
          <w:sz w:val="16"/>
          <w:szCs w:val="16"/>
        </w:rPr>
        <w:t xml:space="preserve">THE QUARTERLY REPORT</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Every ninety days, the household receives a narrative and numerical update: the current Moral Alignment Score, any new exposures introduced by corporate activity, proxy-voting actions taken on their behalf, and commentary on developments in Catholic Social Teaching that affect the framework.</w:t>
      </w:r>
    </w:p>
    <w:p>
      <w:pPr>
        <w:spacing w:after="120" w:before="240"/>
      </w:pPr>
      <w:r>
        <w:rPr>
          <w:rFonts w:ascii="Calibri" w:cs="Calibri" w:eastAsia="Calibri" w:hAnsi="Calibri"/>
          <w:b/>
          <w:bCs/>
          <w:i w:val="false"/>
          <w:iCs w:val="false"/>
          <w:smallCaps w:val="false"/>
          <w:color w:val="C9A84C"/>
          <w:spacing w:val="80"/>
          <w:sz w:val="16"/>
          <w:szCs w:val="16"/>
        </w:rPr>
        <w:t xml:space="preserve">THE ANNUAL DEEP REVIEW</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Once a year, every holding is re-audited from scratch. Corporate revenue mixes shift; companies enter and exit the index; new flags emerge. The annual review confirms that yesterday’s alignment is still today’s alignment.</w:t>
      </w:r>
    </w:p>
    <w:p>
      <w:pPr>
        <w:spacing w:after="120" w:before="240"/>
      </w:pPr>
      <w:r>
        <w:rPr>
          <w:rFonts w:ascii="Calibri" w:cs="Calibri" w:eastAsia="Calibri" w:hAnsi="Calibri"/>
          <w:b/>
          <w:bCs/>
          <w:i w:val="false"/>
          <w:iCs w:val="false"/>
          <w:smallCaps w:val="false"/>
          <w:color w:val="C9A84C"/>
          <w:spacing w:val="80"/>
          <w:sz w:val="16"/>
          <w:szCs w:val="16"/>
        </w:rPr>
        <w:t xml:space="preserve">PROXY VOTING &amp; CORPORATE ENGAGEMENT</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Ownership implies voice. Where client holdings meet thresholds that permit shareholder engagement, Ethos Logos Investments votes proxies in accordance with the Mandate and engages with corporate leadership on specific moral concerns.</w:t>
      </w:r>
    </w:p>
    <w:p>
      <w:pPr>
        <w:spacing w:after="120" w:before="240"/>
      </w:pPr>
      <w:r>
        <w:rPr>
          <w:rFonts w:ascii="Calibri" w:cs="Calibri" w:eastAsia="Calibri" w:hAnsi="Calibri"/>
          <w:b/>
          <w:bCs/>
          <w:i w:val="false"/>
          <w:iCs w:val="false"/>
          <w:smallCaps w:val="false"/>
          <w:color w:val="C9A84C"/>
          <w:spacing w:val="80"/>
          <w:sz w:val="16"/>
          <w:szCs w:val="16"/>
        </w:rPr>
        <w:t xml:space="preserve">FORMATION</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Quarterly reports are accompanied by a short reading from the Catholic theological tradition on stewardship, vocation, and the moral life. The portfolio is one expression of that life — not the whole of it.</w:t>
      </w:r>
    </w:p>
    <w:p>
      <w:pPr>
        <w:pBdr>
          <w:left w:val="single" w:color="C9A84C" w:sz="24" w:space="18"/>
        </w:pBdr>
        <w:spacing w:after="120" w:before="280" w:line="320"/>
        <w:ind w:left="200"/>
      </w:pPr>
      <w:r>
        <w:rPr>
          <w:rFonts w:ascii="Georgia" w:cs="Georgia" w:eastAsia="Georgia" w:hAnsi="Georgia"/>
          <w:i/>
          <w:iCs/>
          <w:color w:val="0F2039"/>
          <w:sz w:val="22"/>
          <w:szCs w:val="22"/>
        </w:rPr>
        <w:t xml:space="preserve">“Given what is at stake for humanity and future generations, Mensuram Bonam makes a fervent call to action for faith-based, faith-consistent, faith-inspired investing.”</w:t>
      </w:r>
    </w:p>
    <w:p>
      <w:pPr>
        <w:pBdr>
          <w:left w:val="single" w:color="C9A84C" w:sz="24" w:space="18"/>
        </w:pBdr>
        <w:spacing w:after="280" w:before="0"/>
        <w:ind w:left="200"/>
      </w:pPr>
      <w:r>
        <w:rPr>
          <w:rFonts w:ascii="Calibri" w:cs="Calibri" w:eastAsia="Calibri" w:hAnsi="Calibri"/>
          <w:b/>
          <w:bCs/>
          <w:i w:val="false"/>
          <w:iCs w:val="false"/>
          <w:smallCaps w:val="false"/>
          <w:color w:val="C9A84C"/>
          <w:spacing w:val="60"/>
          <w:sz w:val="16"/>
          <w:szCs w:val="16"/>
        </w:rPr>
        <w:t xml:space="preserve">— Pontifical Academy of Social Sciences (2022)</w:t>
      </w:r>
    </w:p>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CLOSING</w:t>
      </w:r>
    </w:p>
    <w:p>
      <w:pPr>
        <w:pStyle w:val="Heading1"/>
        <w:spacing w:after="240" w:before="0"/>
      </w:pPr>
      <w:r>
        <w:rPr>
          <w:rFonts w:ascii="Georgia" w:cs="Georgia" w:eastAsia="Georgia" w:hAnsi="Georgia"/>
          <w:color w:val="0F2039"/>
          <w:sz w:val="52"/>
          <w:szCs w:val="52"/>
        </w:rPr>
        <w:t xml:space="preserve">Your Portfolio Should Not
Contradict Your Conscience.</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What you have just read is a demonstration — a realistic composite of what the Moral Portfolio Audit produces for a household that has never had their holdings examined through the lens of Catholic Social Teaching.</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numbers in this sample are illustrative, but the pattern is not. The exposures described here reside, with some frequency, in the portfolios of faithful American Catholics. The difference between a compromised portfolio and an aligned one is rarely conviction. It is almost always information.</w:t>
      </w:r>
    </w:p>
    <w:p>
      <w:pPr>
        <w:spacing w:after="200" w:before="0" w:line="320"/>
        <w:jc w:val="left"/>
      </w:pPr>
      <w:r>
        <w:rPr>
          <w:rFonts w:ascii="Calibri" w:cs="Calibri" w:eastAsia="Calibri" w:hAnsi="Calibri"/>
          <w:b w:val="false"/>
          <w:bCs w:val="false"/>
          <w:i w:val="false"/>
          <w:iCs w:val="false"/>
          <w:smallCaps w:val="false"/>
          <w:color w:val="3D3D3D"/>
          <w:sz w:val="22"/>
          <w:szCs w:val="22"/>
        </w:rPr>
        <w:t xml:space="preserve">The audit makes the information possible. What follows is up to you.</w:t>
      </w:r>
    </w:p>
    <w:p>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C9A84C" w:sz="24"/>
              <w:left w:val="none" w:color="0F2039" w:sz="0"/>
              <w:bottom w:val="single" w:color="C9A84C" w:sz="24"/>
              <w:right w:val="none" w:color="0F2039" w:sz="0"/>
            </w:tcBorders>
            <w:shd w:fill="0F2039" w:val="clear"/>
            <w:tcMar>
              <w:top w:type="dxa" w:w="400"/>
              <w:left w:type="dxa" w:w="400"/>
              <w:bottom w:type="dxa" w:w="400"/>
              <w:right w:type="dxa" w:w="400"/>
            </w:tcMar>
          </w:tcPr>
          <w:p>
            <w:pPr>
              <w:spacing w:after="180" w:before="0"/>
              <w:jc w:val="center"/>
            </w:pPr>
            <w:r>
              <w:rPr>
                <w:rFonts w:ascii="Calibri" w:cs="Calibri" w:eastAsia="Calibri" w:hAnsi="Calibri"/>
                <w:b/>
                <w:bCs/>
                <w:i w:val="false"/>
                <w:iCs w:val="false"/>
                <w:smallCaps w:val="false"/>
                <w:color w:val="C9A84C"/>
                <w:spacing w:val="100"/>
                <w:sz w:val="18"/>
                <w:szCs w:val="18"/>
              </w:rPr>
              <w:t xml:space="preserve">YOUR AUDIT</w:t>
            </w:r>
          </w:p>
          <w:p>
            <w:pPr>
              <w:spacing w:after="100" w:before="0"/>
              <w:jc w:val="center"/>
            </w:pPr>
            <w:r>
              <w:rPr>
                <w:rFonts w:ascii="Georgia" w:cs="Georgia" w:eastAsia="Georgia" w:hAnsi="Georgia"/>
                <w:color w:val="FAF7F0"/>
                <w:sz w:val="48"/>
                <w:szCs w:val="48"/>
              </w:rPr>
              <w:t xml:space="preserve">Request Yours.</w:t>
            </w:r>
          </w:p>
          <w:p>
            <w:pPr>
              <w:spacing w:after="240" w:before="0"/>
              <w:jc w:val="center"/>
            </w:pPr>
            <w:r>
              <w:rPr>
                <w:rFonts w:ascii="Georgia" w:cs="Georgia" w:eastAsia="Georgia" w:hAnsi="Georgia"/>
                <w:i/>
                <w:iCs/>
                <w:color w:val="C9A84C"/>
                <w:sz w:val="22"/>
                <w:szCs w:val="22"/>
              </w:rPr>
              <w:t xml:space="preserve">The first thirty minutes are complimentary.</w:t>
            </w:r>
          </w:p>
          <w:p>
            <w:pPr>
              <w:spacing w:after="80" w:before="0"/>
              <w:jc w:val="center"/>
            </w:pPr>
            <w:r>
              <w:rPr>
                <w:rFonts w:ascii="Calibri" w:cs="Calibri" w:eastAsia="Calibri" w:hAnsi="Calibri"/>
                <w:color w:val="FAF7F0"/>
                <w:sz w:val="20"/>
                <w:szCs w:val="20"/>
              </w:rPr>
              <w:t xml:space="preserve">KJ Smith  ·  Founder, Ethos Logos Investments</w:t>
            </w:r>
          </w:p>
          <w:p>
            <w:pPr>
              <w:spacing w:after="0" w:before="0"/>
              <w:jc w:val="center"/>
            </w:pPr>
            <w:r>
              <w:rPr>
                <w:rFonts w:ascii="Calibri" w:cs="Calibri" w:eastAsia="Calibri" w:hAnsi="Calibri"/>
                <w:color w:val="FAF7F0"/>
                <w:sz w:val="20"/>
                <w:szCs w:val="20"/>
              </w:rPr>
              <w:t xml:space="preserve">kj@ethoslogos.com  ·  ethosmandate.com/audit</w:t>
            </w:r>
          </w:p>
        </w:tc>
      </w:tr>
    </w:tbl>
    <w:p>
      <w:r>
        <w:br w:type="page"/>
      </w:r>
    </w:p>
    <w:p>
      <w:pPr>
        <w:spacing w:after="180" w:before="60"/>
      </w:pPr>
      <w:r>
        <w:rPr>
          <w:rFonts w:ascii="Calibri" w:cs="Calibri" w:eastAsia="Calibri" w:hAnsi="Calibri"/>
          <w:b/>
          <w:bCs/>
          <w:i w:val="false"/>
          <w:iCs w:val="false"/>
          <w:smallCaps w:val="false"/>
          <w:color w:val="C9A84C"/>
          <w:spacing w:val="80"/>
          <w:sz w:val="18"/>
          <w:szCs w:val="18"/>
        </w:rPr>
        <w:t xml:space="preserve">DISCLOSURES</w:t>
      </w:r>
    </w:p>
    <w:p>
      <w:pPr>
        <w:pStyle w:val="Heading1"/>
        <w:spacing w:after="240" w:before="0"/>
      </w:pPr>
      <w:r>
        <w:rPr>
          <w:rFonts w:ascii="Georgia" w:cs="Georgia" w:eastAsia="Georgia" w:hAnsi="Georgia"/>
          <w:color w:val="0F2039"/>
          <w:sz w:val="52"/>
          <w:szCs w:val="52"/>
        </w:rPr>
        <w:t xml:space="preserve">Important Information.</w:t>
      </w:r>
    </w:p>
    <w:p>
      <w:pPr>
        <w:spacing w:after="160" w:before="0" w:line="280"/>
      </w:pPr>
      <w:r>
        <w:rPr>
          <w:rFonts w:ascii="Calibri" w:cs="Calibri" w:eastAsia="Calibri" w:hAnsi="Calibri"/>
          <w:color w:val="6B6B6B"/>
          <w:sz w:val="16"/>
          <w:szCs w:val="16"/>
        </w:rPr>
        <w:t xml:space="preserve">This document is a SAMPLE and is provided for illustrative and educational purposes only. The client name, account structure, holdings, allocations, exposures, Moral Alignment Scores, and proposed actions are entirely hypothetical. No real client data is used or implied. Nothing in this document constitutes investment, tax, legal, or spiritual advice, nor a solicitation to buy or sell any security.</w:t>
      </w:r>
    </w:p>
    <w:p>
      <w:pPr>
        <w:spacing w:after="160" w:before="0" w:line="280"/>
      </w:pPr>
      <w:r>
        <w:rPr>
          <w:rFonts w:ascii="Calibri" w:cs="Calibri" w:eastAsia="Calibri" w:hAnsi="Calibri"/>
          <w:color w:val="6B6B6B"/>
          <w:sz w:val="16"/>
          <w:szCs w:val="16"/>
        </w:rPr>
        <w:t xml:space="preserve">Actual Moral Portfolio Audits are prepared individually for each household based on that household’s real holdings, tax situation, risk tolerance, and financial objectives. Scores, exposures, and proposed transitions vary materially from one client to another.</w:t>
      </w:r>
    </w:p>
    <w:p>
      <w:pPr>
        <w:spacing w:after="160" w:before="0" w:line="280"/>
      </w:pPr>
      <w:r>
        <w:rPr>
          <w:rFonts w:ascii="Calibri" w:cs="Calibri" w:eastAsia="Calibri" w:hAnsi="Calibri"/>
          <w:color w:val="6B6B6B"/>
          <w:sz w:val="16"/>
          <w:szCs w:val="16"/>
        </w:rPr>
        <w:t xml:space="preserve">Investment advisory services are offered through a registered investment advisor. The Ethos Mandate™ is a framework of Ethos Logos Investments. Catholic Social Teaching references are drawn from the Compendium of the Social Doctrine of the Church, the USCCB Socially Responsible Investment Guidelines (2021), Mensuram Bonam (Pontifical Academy of Social Sciences, 2022), Laudato Si’, the Catechism of the Catholic Church, and the broader encyclical tradition.</w:t>
      </w:r>
    </w:p>
    <w:p>
      <w:pPr>
        <w:spacing w:after="160" w:before="0" w:line="280"/>
      </w:pPr>
      <w:r>
        <w:rPr>
          <w:rFonts w:ascii="Calibri" w:cs="Calibri" w:eastAsia="Calibri" w:hAnsi="Calibri"/>
          <w:color w:val="6B6B6B"/>
          <w:sz w:val="16"/>
          <w:szCs w:val="16"/>
        </w:rPr>
        <w:t xml:space="preserve">All rights reserved.</w:t>
      </w:r>
    </w:p>
    <w:p>
      <w:r>
        <w:t xml:space="preserve"/>
      </w:r>
    </w:p>
    <w:p>
      <w:r>
        <w:t xml:space="preserve"/>
      </w:r>
    </w:p>
    <w:p>
      <w:r>
        <w:t xml:space="preserve"/>
      </w:r>
    </w:p>
    <w:p>
      <w:pPr>
        <w:pBdr>
          <w:bottom w:val="single" w:color="C9A84C" w:sz="8" w:space="1"/>
        </w:pBdr>
        <w:spacing w:after="160" w:before="120"/>
      </w:pPr>
      <w:r>
        <w:t xml:space="preserve"/>
      </w:r>
    </w:p>
    <w:p>
      <w:pPr>
        <w:spacing w:after="0" w:before="120"/>
      </w:pPr>
      <w:r>
        <w:rPr>
          <w:rFonts w:ascii="Calibri" w:cs="Calibri" w:eastAsia="Calibri" w:hAnsi="Calibri"/>
          <w:b/>
          <w:bCs/>
          <w:i w:val="false"/>
          <w:iCs w:val="false"/>
          <w:smallCaps w:val="false"/>
          <w:color w:val="C9A84C"/>
          <w:spacing w:val="80"/>
          <w:sz w:val="14"/>
          <w:szCs w:val="14"/>
        </w:rPr>
        <w:t xml:space="preserve">© ETHOS LOGOS INVESTMENTS  ·  THE ETHOS MANDATE™  ·  SAMPLE AUDIT REPORT</w:t>
      </w:r>
    </w:p>
    <w:sectPr>
      <w:headerReference w:type="default" r:id="rId7"/>
      <w:headerReference w:type="first" r:id="rId8"/>
      <w:footerReference w:type="default" r:id="rId9"/>
      <w:footerReference w:type="first" r:id="rId10"/>
      <w:pgSz w:w="12240" w:h="15840" w:orient="portrait"/>
      <w:pgMar w:top="1800" w:right="1600" w:bottom="1800" w:left="16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80"/>
      <w:jc w:val="center"/>
    </w:pPr>
    <w:r>
      <w:rPr>
        <w:rFonts w:ascii="Calibri" w:cs="Calibri" w:eastAsia="Calibri" w:hAnsi="Calibri"/>
        <w:b/>
        <w:bCs/>
        <w:i w:val="false"/>
        <w:iCs w:val="false"/>
        <w:smallCaps w:val="false"/>
        <w:color w:val="C9A84C"/>
        <w:sz w:val="16"/>
        <w:szCs w:val="16"/>
      </w:rPr>
      <w:t xml:space="preserve">—  </w:t>
    </w:r>
    <w:r>
      <w:rPr>
        <w:rFonts w:ascii="Calibri" w:cs="Calibri" w:eastAsia="Calibri" w:hAnsi="Calibri"/>
        <w:b/>
        <w:bCs/>
        <w:color w:val="C9A84C"/>
        <w:sz w:val="16"/>
        <w:szCs w:val="16"/>
      </w:rPr>
      <w:fldChar w:fldCharType="begin"/>
      <w:instrText xml:space="preserve">PAGE</w:instrText>
      <w:fldChar w:fldCharType="separate"/>
      <w:fldChar w:fldCharType="end"/>
    </w:r>
    <w:r>
      <w:rPr>
        <w:rFonts w:ascii="Calibri" w:cs="Calibri" w:eastAsia="Calibri" w:hAnsi="Calibri"/>
        <w:b/>
        <w:bCs/>
        <w:i w:val="false"/>
        <w:iCs w:val="false"/>
        <w:smallCaps w:val="false"/>
        <w:color w:val="C9A84C"/>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DDC8" w:sz="4" w:space="6"/>
      </w:pBdr>
      <w:tabs>
        <w:tab w:val="right" w:pos="9360"/>
      </w:tabs>
      <w:spacing w:after="80" w:before="0"/>
    </w:pPr>
    <w:r>
      <w:rPr>
        <w:rFonts w:ascii="Calibri" w:cs="Calibri" w:eastAsia="Calibri" w:hAnsi="Calibri"/>
        <w:b/>
        <w:bCs/>
        <w:i w:val="false"/>
        <w:iCs w:val="false"/>
        <w:smallCaps w:val="false"/>
        <w:color w:val="C9A84C"/>
        <w:spacing w:val="80"/>
        <w:sz w:val="16"/>
        <w:szCs w:val="16"/>
      </w:rPr>
      <w:t xml:space="preserve">THE ETHOS MANDATE™</w:t>
    </w:r>
    <w:r>
      <w:rPr>
        <w:rFonts w:ascii="Calibri" w:cs="Calibri" w:eastAsia="Calibri" w:hAnsi="Calibri"/>
        <w:sz w:val="16"/>
        <w:szCs w:val="16"/>
      </w:rPr>
      <w:t xml:space="preserve">	</w:t>
    </w:r>
    <w:r>
      <w:rPr>
        <w:rFonts w:ascii="Calibri" w:cs="Calibri" w:eastAsia="Calibri" w:hAnsi="Calibri"/>
        <w:b w:val="false"/>
        <w:bCs w:val="false"/>
        <w:i w:val="false"/>
        <w:iCs w:val="false"/>
        <w:smallCaps w:val="false"/>
        <w:color w:val="6B6B6B"/>
        <w:spacing w:val="80"/>
        <w:sz w:val="16"/>
        <w:szCs w:val="16"/>
      </w:rPr>
      <w:t xml:space="preserve">SAMPLE MORAL PORTFOLIO AUDIT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0"/>
      <w:outlineLvl w:val="0"/>
    </w:pPr>
    <w:rPr>
      <w:rFonts w:ascii="Georgia" w:cs="Georgia" w:eastAsia="Georgia" w:hAnsi="Georgia"/>
      <w:color w:val="0F2039"/>
      <w:sz w:val="52"/>
      <w:szCs w:val="5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Moral Portfolio Audit</dc:title>
  <dc:creator>Ethos Logos Investments</dc:creator>
  <dc:description>An Ethos Mandate deliverable demonstration</dc:description>
  <cp:lastModifiedBy>Un-named</cp:lastModifiedBy>
  <cp:revision>1</cp:revision>
  <dcterms:created xsi:type="dcterms:W3CDTF">2026-04-21T13:40:08.412Z</dcterms:created>
  <dcterms:modified xsi:type="dcterms:W3CDTF">2026-04-21T13:40:08.413Z</dcterms:modified>
</cp:coreProperties>
</file>

<file path=docProps/custom.xml><?xml version="1.0" encoding="utf-8"?>
<Properties xmlns="http://schemas.openxmlformats.org/officeDocument/2006/custom-properties" xmlns:vt="http://schemas.openxmlformats.org/officeDocument/2006/docPropsVTypes"/>
</file>